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844" w:rsidRPr="002E3844" w:rsidRDefault="002E3844" w:rsidP="002E3844">
      <w:pPr>
        <w:shd w:val="clear" w:color="auto" w:fill="FFFFFF"/>
        <w:spacing w:after="346" w:line="611" w:lineRule="atLeast"/>
        <w:outlineLvl w:val="0"/>
        <w:rPr>
          <w:rFonts w:ascii="Trebuchet MS" w:eastAsia="Times New Roman" w:hAnsi="Trebuchet MS" w:cs="Times New Roman"/>
          <w:b/>
          <w:bCs/>
          <w:color w:val="201F2A"/>
          <w:kern w:val="36"/>
          <w:sz w:val="46"/>
          <w:szCs w:val="46"/>
          <w:lang w:eastAsia="cs-CZ"/>
        </w:rPr>
      </w:pPr>
      <w:proofErr w:type="spellStart"/>
      <w:r w:rsidRPr="002E3844">
        <w:rPr>
          <w:rFonts w:ascii="Trebuchet MS" w:eastAsia="Times New Roman" w:hAnsi="Trebuchet MS" w:cs="Times New Roman"/>
          <w:b/>
          <w:bCs/>
          <w:color w:val="201F2A"/>
          <w:kern w:val="36"/>
          <w:sz w:val="46"/>
          <w:szCs w:val="46"/>
          <w:lang w:eastAsia="cs-CZ"/>
        </w:rPr>
        <w:t>Dohodáři</w:t>
      </w:r>
      <w:proofErr w:type="spellEnd"/>
      <w:r w:rsidRPr="002E3844">
        <w:rPr>
          <w:rFonts w:ascii="Trebuchet MS" w:eastAsia="Times New Roman" w:hAnsi="Trebuchet MS" w:cs="Times New Roman"/>
          <w:b/>
          <w:bCs/>
          <w:color w:val="201F2A"/>
          <w:kern w:val="36"/>
          <w:sz w:val="46"/>
          <w:szCs w:val="46"/>
          <w:lang w:eastAsia="cs-CZ"/>
        </w:rPr>
        <w:t xml:space="preserve"> mají letos nárok na dovolenou. Tady jsou pravidla</w:t>
      </w:r>
    </w:p>
    <w:p w:rsidR="002E3844" w:rsidRPr="002E3844" w:rsidRDefault="002E3844" w:rsidP="002E3844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b/>
          <w:bCs/>
          <w:color w:val="201F2A"/>
          <w:sz w:val="21"/>
          <w:szCs w:val="21"/>
          <w:lang w:eastAsia="cs-CZ"/>
        </w:rPr>
      </w:pPr>
      <w:r w:rsidRPr="002E3844">
        <w:rPr>
          <w:rFonts w:ascii="Trebuchet MS" w:eastAsia="Times New Roman" w:hAnsi="Trebuchet MS" w:cs="Times New Roman"/>
          <w:b/>
          <w:bCs/>
          <w:color w:val="201F2A"/>
          <w:sz w:val="21"/>
          <w:szCs w:val="21"/>
          <w:lang w:eastAsia="cs-CZ"/>
        </w:rPr>
        <w:t xml:space="preserve">Pokud zaměstnáváte na dohodu o provedení práce nebo dohodu o pracovní činnosti, od </w:t>
      </w:r>
      <w:proofErr w:type="spellStart"/>
      <w:r w:rsidRPr="002E3844">
        <w:rPr>
          <w:rFonts w:ascii="Trebuchet MS" w:eastAsia="Times New Roman" w:hAnsi="Trebuchet MS" w:cs="Times New Roman"/>
          <w:b/>
          <w:bCs/>
          <w:color w:val="201F2A"/>
          <w:sz w:val="21"/>
          <w:szCs w:val="21"/>
          <w:lang w:eastAsia="cs-CZ"/>
        </w:rPr>
        <w:t>letoška</w:t>
      </w:r>
      <w:proofErr w:type="spellEnd"/>
      <w:r w:rsidRPr="002E3844">
        <w:rPr>
          <w:rFonts w:ascii="Trebuchet MS" w:eastAsia="Times New Roman" w:hAnsi="Trebuchet MS" w:cs="Times New Roman"/>
          <w:b/>
          <w:bCs/>
          <w:color w:val="201F2A"/>
          <w:sz w:val="21"/>
          <w:szCs w:val="21"/>
          <w:lang w:eastAsia="cs-CZ"/>
        </w:rPr>
        <w:t xml:space="preserve"> musíte </w:t>
      </w:r>
      <w:proofErr w:type="spellStart"/>
      <w:r w:rsidRPr="002E3844">
        <w:rPr>
          <w:rFonts w:ascii="Trebuchet MS" w:eastAsia="Times New Roman" w:hAnsi="Trebuchet MS" w:cs="Times New Roman"/>
          <w:b/>
          <w:bCs/>
          <w:color w:val="201F2A"/>
          <w:sz w:val="21"/>
          <w:szCs w:val="21"/>
          <w:lang w:eastAsia="cs-CZ"/>
        </w:rPr>
        <w:t>dohodářům</w:t>
      </w:r>
      <w:proofErr w:type="spellEnd"/>
      <w:r w:rsidRPr="002E3844">
        <w:rPr>
          <w:rFonts w:ascii="Trebuchet MS" w:eastAsia="Times New Roman" w:hAnsi="Trebuchet MS" w:cs="Times New Roman"/>
          <w:b/>
          <w:bCs/>
          <w:color w:val="201F2A"/>
          <w:sz w:val="21"/>
          <w:szCs w:val="21"/>
          <w:lang w:eastAsia="cs-CZ"/>
        </w:rPr>
        <w:t xml:space="preserve"> poskytnout placenou dovolenou. Za splnění určitých podmínek. Jaká jsou pravidla a jak vypočítat délku takové dovolené? Poradíme.</w:t>
      </w:r>
    </w:p>
    <w:p w:rsidR="002E3844" w:rsidRPr="002E3844" w:rsidRDefault="002E3844" w:rsidP="002E3844">
      <w:pPr>
        <w:shd w:val="clear" w:color="auto" w:fill="F8F8F8"/>
        <w:spacing w:after="115" w:line="253" w:lineRule="atLeast"/>
        <w:rPr>
          <w:rFonts w:ascii="Trebuchet MS" w:eastAsia="Times New Roman" w:hAnsi="Trebuchet MS" w:cs="Times New Roman"/>
          <w:b/>
          <w:bCs/>
          <w:color w:val="201F2A"/>
          <w:sz w:val="21"/>
          <w:szCs w:val="21"/>
          <w:lang w:eastAsia="cs-CZ"/>
        </w:rPr>
      </w:pPr>
      <w:r w:rsidRPr="002E3844">
        <w:rPr>
          <w:rFonts w:ascii="Trebuchet MS" w:eastAsia="Times New Roman" w:hAnsi="Trebuchet MS" w:cs="Times New Roman"/>
          <w:b/>
          <w:bCs/>
          <w:color w:val="201F2A"/>
          <w:sz w:val="21"/>
          <w:szCs w:val="21"/>
          <w:lang w:eastAsia="cs-CZ"/>
        </w:rPr>
        <w:t>Co se v článku dozvíte</w:t>
      </w:r>
    </w:p>
    <w:p w:rsidR="002E3844" w:rsidRPr="002E3844" w:rsidRDefault="00347A5F" w:rsidP="002E3844">
      <w:pPr>
        <w:numPr>
          <w:ilvl w:val="0"/>
          <w:numId w:val="1"/>
        </w:numPr>
        <w:shd w:val="clear" w:color="auto" w:fill="F8F8F8"/>
        <w:spacing w:after="115" w:line="240" w:lineRule="auto"/>
        <w:ind w:left="-346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hyperlink r:id="rId5" w:anchor="podminky-naroku-na-dovolenou-u-dohod-o-pracich-mimo-pracovni-pomer" w:history="1">
        <w:r w:rsidR="002E3844" w:rsidRPr="002E3844">
          <w:rPr>
            <w:rFonts w:ascii="Trebuchet MS" w:eastAsia="Times New Roman" w:hAnsi="Trebuchet MS" w:cs="Times New Roman"/>
            <w:color w:val="484755"/>
            <w:sz w:val="18"/>
            <w:u w:val="single"/>
            <w:lang w:eastAsia="cs-CZ"/>
          </w:rPr>
          <w:t xml:space="preserve">Podmínky nároku na dovolenou u </w:t>
        </w:r>
        <w:proofErr w:type="spellStart"/>
        <w:r w:rsidR="002E3844" w:rsidRPr="002E3844">
          <w:rPr>
            <w:rFonts w:ascii="Trebuchet MS" w:eastAsia="Times New Roman" w:hAnsi="Trebuchet MS" w:cs="Times New Roman"/>
            <w:color w:val="484755"/>
            <w:sz w:val="18"/>
            <w:u w:val="single"/>
            <w:lang w:eastAsia="cs-CZ"/>
          </w:rPr>
          <w:t>dohodářů</w:t>
        </w:r>
        <w:proofErr w:type="spellEnd"/>
      </w:hyperlink>
    </w:p>
    <w:p w:rsidR="002E3844" w:rsidRPr="002E3844" w:rsidRDefault="00347A5F" w:rsidP="002E3844">
      <w:pPr>
        <w:numPr>
          <w:ilvl w:val="0"/>
          <w:numId w:val="1"/>
        </w:numPr>
        <w:shd w:val="clear" w:color="auto" w:fill="F8F8F8"/>
        <w:spacing w:after="115" w:line="240" w:lineRule="auto"/>
        <w:ind w:left="-346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hyperlink r:id="rId6" w:anchor="co-ovlivnuje-delku-dovolene-u-pracovnich-dohod" w:history="1">
        <w:r w:rsidR="002E3844" w:rsidRPr="002E3844">
          <w:rPr>
            <w:rFonts w:ascii="Trebuchet MS" w:eastAsia="Times New Roman" w:hAnsi="Trebuchet MS" w:cs="Times New Roman"/>
            <w:color w:val="484755"/>
            <w:sz w:val="18"/>
            <w:u w:val="single"/>
            <w:lang w:eastAsia="cs-CZ"/>
          </w:rPr>
          <w:t>Co ovlivňuje délku dovolené u pracovních dohod</w:t>
        </w:r>
      </w:hyperlink>
    </w:p>
    <w:p w:rsidR="002E3844" w:rsidRPr="002E3844" w:rsidRDefault="00347A5F" w:rsidP="002E3844">
      <w:pPr>
        <w:numPr>
          <w:ilvl w:val="0"/>
          <w:numId w:val="1"/>
        </w:numPr>
        <w:shd w:val="clear" w:color="auto" w:fill="F8F8F8"/>
        <w:spacing w:after="115" w:line="240" w:lineRule="auto"/>
        <w:ind w:left="-346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hyperlink r:id="rId7" w:anchor="vypocet-dovolene-dpp" w:history="1">
        <w:r w:rsidR="002E3844" w:rsidRPr="002E3844">
          <w:rPr>
            <w:rFonts w:ascii="Trebuchet MS" w:eastAsia="Times New Roman" w:hAnsi="Trebuchet MS" w:cs="Times New Roman"/>
            <w:color w:val="484755"/>
            <w:sz w:val="18"/>
            <w:u w:val="single"/>
            <w:lang w:eastAsia="cs-CZ"/>
          </w:rPr>
          <w:t>Příklad výpočtu dovolené u dohody o provedení práce</w:t>
        </w:r>
      </w:hyperlink>
    </w:p>
    <w:p w:rsidR="002E3844" w:rsidRPr="002E3844" w:rsidRDefault="00347A5F" w:rsidP="002E3844">
      <w:pPr>
        <w:numPr>
          <w:ilvl w:val="0"/>
          <w:numId w:val="1"/>
        </w:numPr>
        <w:shd w:val="clear" w:color="auto" w:fill="F8F8F8"/>
        <w:spacing w:line="240" w:lineRule="auto"/>
        <w:ind w:left="-346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hyperlink r:id="rId8" w:anchor="vypocet-dovolene-dpc" w:history="1">
        <w:r w:rsidR="002E3844" w:rsidRPr="002E3844">
          <w:rPr>
            <w:rFonts w:ascii="Trebuchet MS" w:eastAsia="Times New Roman" w:hAnsi="Trebuchet MS" w:cs="Times New Roman"/>
            <w:color w:val="484755"/>
            <w:sz w:val="18"/>
            <w:u w:val="single"/>
            <w:lang w:eastAsia="cs-CZ"/>
          </w:rPr>
          <w:t>Příklad výpočtu dovolené u dohody o pracovní činnosti</w:t>
        </w:r>
      </w:hyperlink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Pravidla dohod o provedení práce a dohod o pracovní činnosti se v uplynulém roce bouřlivě mění a změnám ještě není konec. Přehledně jsme všechny novinky v dohodách a termíny, od kdy platí, shrnuli zde: </w:t>
      </w:r>
      <w:hyperlink r:id="rId9" w:tgtFrame="_blank" w:history="1">
        <w:r w:rsidRPr="002E3844">
          <w:rPr>
            <w:rFonts w:ascii="Trebuchet MS" w:eastAsia="Times New Roman" w:hAnsi="Trebuchet MS" w:cs="Times New Roman"/>
            <w:color w:val="484755"/>
            <w:sz w:val="18"/>
            <w:u w:val="single"/>
            <w:lang w:eastAsia="cs-CZ"/>
          </w:rPr>
          <w:t>Změny v pracích na dohodu. Přehled novinek, které se valí na zaměstnavatele</w:t>
        </w:r>
      </w:hyperlink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.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 xml:space="preserve">Jednou z novinek je – s účinností od začátku roku – také to, že </w:t>
      </w:r>
      <w:proofErr w:type="spellStart"/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dohodáři</w:t>
      </w:r>
      <w:proofErr w:type="spellEnd"/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 xml:space="preserve"> mají při splnění určitých podmínek nárok na dovolenou. A protože sezóna dovolených právě kulminuje, stojí za to si srovnat, jaká pravidla pro dovolené lidí zaměstnaných na dohodu o provedení práce i o pracovní činnosti platí.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I dřív bylo možné se s </w:t>
      </w:r>
      <w:proofErr w:type="spellStart"/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dohodářem</w:t>
      </w:r>
      <w:proofErr w:type="spellEnd"/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 xml:space="preserve"> domluvit, že mu placené volno poskytnete. Od ledna to ovšem u těch, kteří odpracují za určitou dobu určitý počet hodin, není věc domluvy, ale zákonná povinnost. Týká se automaticky i dohod uzavřených před 1. lednem.</w:t>
      </w:r>
    </w:p>
    <w:p w:rsidR="002E3844" w:rsidRPr="002E3844" w:rsidRDefault="002E3844" w:rsidP="002E3844">
      <w:pPr>
        <w:shd w:val="clear" w:color="auto" w:fill="201F2A"/>
        <w:spacing w:after="115" w:line="300" w:lineRule="atLeast"/>
        <w:outlineLvl w:val="1"/>
        <w:rPr>
          <w:rFonts w:ascii="Trebuchet MS" w:eastAsia="Times New Roman" w:hAnsi="Trebuchet MS" w:cs="Times New Roman"/>
          <w:b/>
          <w:bCs/>
          <w:color w:val="FFFFFF"/>
          <w:sz w:val="25"/>
          <w:szCs w:val="25"/>
          <w:lang w:eastAsia="cs-CZ"/>
        </w:rPr>
      </w:pPr>
      <w:r w:rsidRPr="00734E63">
        <w:rPr>
          <w:rFonts w:ascii="Trebuchet MS" w:eastAsia="Times New Roman" w:hAnsi="Trebuchet MS" w:cs="Times New Roman"/>
          <w:b/>
          <w:bCs/>
          <w:color w:val="FFFFFF"/>
          <w:sz w:val="25"/>
          <w:szCs w:val="25"/>
          <w:lang w:eastAsia="cs-CZ"/>
        </w:rPr>
        <w:t>Podmínky nároku na dovolenou u dohod o provedení práce nebo o pracovní činnosti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 xml:space="preserve">Při výpočtu dovolených se obecně pracuje s týdenní pracovní dobou. Tu ovšem </w:t>
      </w:r>
      <w:proofErr w:type="spellStart"/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dohodáři</w:t>
      </w:r>
      <w:proofErr w:type="spellEnd"/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 xml:space="preserve"> nemají. Proto pro ně zákoník práce nově stanovil takzvanou fiktivní pracovní dobu – ta je rovná polovičce klasického pracovního úvazku, činí tedy 20 hodin týdně.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První podmínkou, kterou musí dohoda o práci konané mimo pracovní poměr (jak se obě dohody souhrnně nazývají) splnit, aby zaměstnanci vznikl na dovolenou nárok, je její trvání.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Dohoda musí být sjednaná nejmíň na čtyři týdny (28 dní).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Další podmínkou je pak odpracování určitého počtu hodin. Zaměstnanec musí v roce, kdy si chce dovolenou vybrat, odpracovat alespoň čtyřnásobek své fiktivní týdenní pracovní doby. Tedy 80 hodin.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Do odpracované doby se pro účel výpočtu dovolené počítá u obou dohod i takzvané náhradní doby – překážky v práci, náhradní volno za práci přesčas nebo ve svátek i samotná dovolená. Pozor ale na to, že u dohody o provedení práce se tyhle náhradní doby neberou jako odpracované hodiny, pokud jde o dodržení maximální hranice 300 hodin odpracovaných na tuto dohodu u jednoho zaměstnavatele. Tento limit se podle důvodové zprávy k novele zákoníku práce má vztahovat k faktickému výkonu práce. Co má tedy podle dohody být odpracováno, má být skutečně odpracováno beze zbytku.</w:t>
      </w:r>
    </w:p>
    <w:p w:rsidR="002E3844" w:rsidRPr="002E3844" w:rsidRDefault="002E3844" w:rsidP="002E3844">
      <w:pPr>
        <w:shd w:val="clear" w:color="auto" w:fill="201F2A"/>
        <w:spacing w:after="115" w:line="300" w:lineRule="atLeast"/>
        <w:outlineLvl w:val="1"/>
        <w:rPr>
          <w:rFonts w:ascii="Trebuchet MS" w:eastAsia="Times New Roman" w:hAnsi="Trebuchet MS" w:cs="Times New Roman"/>
          <w:b/>
          <w:bCs/>
          <w:color w:val="FFFFFF"/>
          <w:sz w:val="25"/>
          <w:szCs w:val="25"/>
          <w:lang w:eastAsia="cs-CZ"/>
        </w:rPr>
      </w:pPr>
      <w:r w:rsidRPr="002E3844">
        <w:rPr>
          <w:rFonts w:ascii="Trebuchet MS" w:eastAsia="Times New Roman" w:hAnsi="Trebuchet MS" w:cs="Times New Roman"/>
          <w:b/>
          <w:bCs/>
          <w:color w:val="FFFFFF"/>
          <w:sz w:val="25"/>
          <w:szCs w:val="25"/>
          <w:lang w:eastAsia="cs-CZ"/>
        </w:rPr>
        <w:t>Co ovlivňuje délku dovolené u dohod o provedení práce nebo o pracovní činnosti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Délka dovolené, kterou musíte pracovníkovi na dohodu o pracovní činnosti nebo dohodu o provedení práce poskytnout, závisí na dvou věcech:</w:t>
      </w:r>
    </w:p>
    <w:p w:rsidR="002E3844" w:rsidRPr="002E3844" w:rsidRDefault="002E3844" w:rsidP="002E3844">
      <w:pPr>
        <w:numPr>
          <w:ilvl w:val="0"/>
          <w:numId w:val="2"/>
        </w:numPr>
        <w:shd w:val="clear" w:color="auto" w:fill="FFFFFF"/>
        <w:spacing w:after="115" w:line="240" w:lineRule="auto"/>
        <w:ind w:left="0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lastRenderedPageBreak/>
        <w:t>na počtu odpracovaných hodin</w:t>
      </w:r>
    </w:p>
    <w:p w:rsidR="002E3844" w:rsidRPr="002E3844" w:rsidRDefault="002E3844" w:rsidP="002E38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na výměře dovolené, kterou ve své firmě obecně poskytujete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 xml:space="preserve">Pokud je ve vaší firmě standardní délka dovolené čtyři týdny (minimum stanovené zákonem), </w:t>
      </w:r>
      <w:proofErr w:type="spellStart"/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dohodář</w:t>
      </w:r>
      <w:proofErr w:type="spellEnd"/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 xml:space="preserve"> bude mít nárok zhruba na 1,5 hodiny dovolené za každých dvacet odpracovaných hodin.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Když ale svým zaměstnancům s pracovní smlouvou dáváte dovolenou delší, musí být delší i pro brigádníky na dohodu.</w:t>
      </w:r>
    </w:p>
    <w:p w:rsidR="002E3844" w:rsidRPr="002E3844" w:rsidRDefault="002E3844" w:rsidP="002E3844">
      <w:pPr>
        <w:shd w:val="clear" w:color="auto" w:fill="201F2A"/>
        <w:spacing w:after="115" w:line="300" w:lineRule="atLeast"/>
        <w:outlineLvl w:val="1"/>
        <w:rPr>
          <w:rFonts w:ascii="Trebuchet MS" w:eastAsia="Times New Roman" w:hAnsi="Trebuchet MS" w:cs="Times New Roman"/>
          <w:b/>
          <w:bCs/>
          <w:color w:val="FFFFFF"/>
          <w:sz w:val="25"/>
          <w:szCs w:val="25"/>
          <w:lang w:eastAsia="cs-CZ"/>
        </w:rPr>
      </w:pPr>
      <w:r w:rsidRPr="002E3844">
        <w:rPr>
          <w:rFonts w:ascii="Trebuchet MS" w:eastAsia="Times New Roman" w:hAnsi="Trebuchet MS" w:cs="Times New Roman"/>
          <w:b/>
          <w:bCs/>
          <w:color w:val="FFFFFF"/>
          <w:sz w:val="25"/>
          <w:szCs w:val="25"/>
          <w:lang w:eastAsia="cs-CZ"/>
        </w:rPr>
        <w:t>Příklad výpočtu dovolené u dohody o provedení práce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Dohodu o provedení práce jste uzavřeli na celý letošní rok a zaměstnanec podle ní má odpracovat zákonné maximum, tedy 300 hodin. (Pamatujte na to, že pokud u vás má zaměstnanec víc dohod o provedení práce, hodiny do limitu se sčítají – pokud je jedna dohoda třeba na 200 hodin za rok, druhá už nesmí přesáhnout 100 hodin.)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Pracovník splnil obě podmínky pro nárok na dovolenou – dohoda trvá víc než čtyři týdny a odpracoval už letos přes 80 hodin. Má dokonce už hotových celých 300 hodin.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Podle pravidel stanovených v zákoníku práce má dostat za každý odpracovaný týden dovolenou v délce 1/52 týdenní pracovní doby (tedy fiktivní týdenní pracovní doby, která je 20 hodin).</w:t>
      </w:r>
    </w:p>
    <w:p w:rsidR="002E3844" w:rsidRPr="002E3844" w:rsidRDefault="00347A5F" w:rsidP="002E3844">
      <w:pPr>
        <w:shd w:val="clear" w:color="auto" w:fill="F8F8F8"/>
        <w:spacing w:line="300" w:lineRule="atLeast"/>
        <w:outlineLvl w:val="1"/>
        <w:rPr>
          <w:rFonts w:ascii="Trebuchet MS" w:eastAsia="Times New Roman" w:hAnsi="Trebuchet MS" w:cs="Times New Roman"/>
          <w:b/>
          <w:bCs/>
          <w:color w:val="201F2A"/>
          <w:sz w:val="25"/>
          <w:szCs w:val="25"/>
          <w:lang w:eastAsia="cs-CZ"/>
        </w:rPr>
      </w:pPr>
      <w:hyperlink r:id="rId10" w:tgtFrame="_blank" w:history="1">
        <w:r w:rsidR="002E3844" w:rsidRPr="002E3844">
          <w:rPr>
            <w:rFonts w:ascii="Trebuchet MS" w:eastAsia="Times New Roman" w:hAnsi="Trebuchet MS" w:cs="Times New Roman"/>
            <w:b/>
            <w:bCs/>
            <w:color w:val="201F2A"/>
            <w:sz w:val="25"/>
            <w:u w:val="single"/>
            <w:lang w:eastAsia="cs-CZ"/>
          </w:rPr>
          <w:t>Změny v pracích na dohodu. Přehled novinek, které se valí na zaměstnavatele</w:t>
        </w:r>
      </w:hyperlink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Výsledek se pak násobí výměrou dovolené, kterou nabízíte svým zaměstnancům. Řekněme, že v tomhle příkladu jste velkorysejší a dovolená ve vaší firmě je o týden delší, než být musí, má tedy pět týdnů.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A nyní už, řečeno s klasikem, máme dostatek indicií, abychom mohli přistoupit k výpočtu.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 xml:space="preserve">Nejdřív si zjistíme, kolik týdnů </w:t>
      </w:r>
      <w:proofErr w:type="spellStart"/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dohodář</w:t>
      </w:r>
      <w:proofErr w:type="spellEnd"/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 xml:space="preserve"> odpracoval. Celkový počet odpracovaných hodin (300) vydělíme fiktivní týdenní pracovní dobou, tedy 20 hodinami. I bez kalkulačky asi dokážeme dopočíst, že 300 : 20 = 15 týdnů.</w:t>
      </w:r>
    </w:p>
    <w:p w:rsidR="002E3844" w:rsidRPr="002E3844" w:rsidRDefault="002E3844" w:rsidP="002E3844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 xml:space="preserve">Jak vypočítáte délku dovolené, na kterou má podle odpracovaných týdnů </w:t>
      </w:r>
      <w:proofErr w:type="spellStart"/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dohodář</w:t>
      </w:r>
      <w:proofErr w:type="spellEnd"/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 xml:space="preserve"> nárok?</w:t>
      </w:r>
    </w:p>
    <w:tbl>
      <w:tblPr>
        <w:tblW w:w="7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2"/>
        <w:gridCol w:w="1105"/>
        <w:gridCol w:w="1801"/>
        <w:gridCol w:w="2294"/>
      </w:tblGrid>
      <w:tr w:rsidR="002E3844" w:rsidRPr="002E3844" w:rsidTr="002E384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b/>
                <w:bCs/>
                <w:sz w:val="14"/>
                <w:lang w:eastAsia="cs-CZ"/>
              </w:rPr>
              <w:t>Počet celých odpracovaných týdnů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b/>
                <w:bCs/>
                <w:sz w:val="14"/>
                <w:lang w:eastAsia="cs-CZ"/>
              </w:rPr>
              <w:t>Počet týdnů v roce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b/>
                <w:bCs/>
                <w:sz w:val="14"/>
                <w:lang w:eastAsia="cs-CZ"/>
              </w:rPr>
              <w:t>Výměra dovolené ve firmě (týdny)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b/>
                <w:bCs/>
                <w:sz w:val="14"/>
                <w:lang w:eastAsia="cs-CZ"/>
              </w:rPr>
              <w:t>Týdenní pracovní doba (fiktivní, v hodinách)</w:t>
            </w:r>
          </w:p>
        </w:tc>
      </w:tr>
      <w:tr w:rsidR="002E3844" w:rsidRPr="002E3844" w:rsidTr="002E384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20</w:t>
            </w:r>
          </w:p>
        </w:tc>
      </w:tr>
    </w:tbl>
    <w:p w:rsidR="002E3844" w:rsidRPr="002E3844" w:rsidRDefault="002E3844" w:rsidP="002E3844">
      <w:pPr>
        <w:shd w:val="clear" w:color="auto" w:fill="201F2A"/>
        <w:spacing w:after="115" w:line="300" w:lineRule="atLeast"/>
        <w:outlineLvl w:val="3"/>
        <w:rPr>
          <w:rFonts w:ascii="Trebuchet MS" w:eastAsia="Times New Roman" w:hAnsi="Trebuchet MS" w:cs="Times New Roman"/>
          <w:b/>
          <w:bCs/>
          <w:color w:val="FFFFFF"/>
          <w:sz w:val="21"/>
          <w:szCs w:val="21"/>
          <w:lang w:eastAsia="cs-CZ"/>
        </w:rPr>
      </w:pPr>
      <w:r w:rsidRPr="002E3844">
        <w:rPr>
          <w:rFonts w:ascii="Trebuchet MS" w:eastAsia="Times New Roman" w:hAnsi="Trebuchet MS" w:cs="Times New Roman"/>
          <w:b/>
          <w:bCs/>
          <w:color w:val="FFFFFF"/>
          <w:sz w:val="21"/>
          <w:szCs w:val="21"/>
          <w:lang w:eastAsia="cs-CZ"/>
        </w:rPr>
        <w:t>Vlastní výpočet délky dovolené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15 : 52 × 5 × 20 = 28,85 hodiny. Zaokrouhluje se vždy na celé hodiny nahoru, zde tedy na 29 hodin.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Na dohody o provedení práce lze u jednoho zaměstnavatele odpracovat maximálně 300 hodin za rok. Čerpání dovolené se do tohoto limitu nezapočítává.</w:t>
      </w:r>
    </w:p>
    <w:p w:rsidR="002E3844" w:rsidRPr="002E3844" w:rsidRDefault="002E3844" w:rsidP="002E3844">
      <w:pPr>
        <w:shd w:val="clear" w:color="auto" w:fill="201F2A"/>
        <w:spacing w:after="115" w:line="300" w:lineRule="atLeast"/>
        <w:outlineLvl w:val="1"/>
        <w:rPr>
          <w:rFonts w:ascii="Trebuchet MS" w:eastAsia="Times New Roman" w:hAnsi="Trebuchet MS" w:cs="Times New Roman"/>
          <w:b/>
          <w:bCs/>
          <w:color w:val="FFFFFF"/>
          <w:sz w:val="25"/>
          <w:szCs w:val="25"/>
          <w:lang w:eastAsia="cs-CZ"/>
        </w:rPr>
      </w:pPr>
      <w:r w:rsidRPr="002E3844">
        <w:rPr>
          <w:rFonts w:ascii="Trebuchet MS" w:eastAsia="Times New Roman" w:hAnsi="Trebuchet MS" w:cs="Times New Roman"/>
          <w:b/>
          <w:bCs/>
          <w:color w:val="FFFFFF"/>
          <w:sz w:val="25"/>
          <w:szCs w:val="25"/>
          <w:lang w:eastAsia="cs-CZ"/>
        </w:rPr>
        <w:t>Příklad výpočtu dovolené u dohody o pracovní činnosti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Se zaměstnancem máte dohodu o pracovní činnosti na celý rok 2024. Odpracoval 430 hodin. Zaměstnancům dáváte standardní dovolenou o čtyřech týdnech.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Náš pracovník splnil obě podmínky pro nárok na dovolenou, odpracoval přes čtyři týdny a zároveň víc než 80 hodin. Kolik volna mu musíte dát?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Výpočet je stejný jako u dovolené pro pracovníka s dohodou o provedení práce. Za každý odpracovaný týden (tedy 20 hodin) má zaměstnanec právo na 1/52 týdenní pracovní doby, která se násobí délkou dovolené standardně v podniku poskytované.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lastRenderedPageBreak/>
        <w:t>Kolik týdnů zaměstnanec odpracoval, zjistíme jednoduše tak, že odpracované hodiny vydělíme fiktivní týdenní pracovní dobou: 430 : 20 = 21,5 týdne. Výsledek se zaokrouhlí dolů na 21 celých týdnů.</w:t>
      </w:r>
    </w:p>
    <w:p w:rsidR="002E3844" w:rsidRPr="002E3844" w:rsidRDefault="002E3844" w:rsidP="002E3844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 xml:space="preserve">Jak vypočítáte délku dovolené, na kterou má podle odpracovaných týdnů </w:t>
      </w:r>
      <w:proofErr w:type="spellStart"/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dohodář</w:t>
      </w:r>
      <w:proofErr w:type="spellEnd"/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 xml:space="preserve"> nárok?</w:t>
      </w:r>
    </w:p>
    <w:tbl>
      <w:tblPr>
        <w:tblW w:w="71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2"/>
        <w:gridCol w:w="1105"/>
        <w:gridCol w:w="1801"/>
        <w:gridCol w:w="2294"/>
      </w:tblGrid>
      <w:tr w:rsidR="002E3844" w:rsidRPr="002E3844" w:rsidTr="002E384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b/>
                <w:bCs/>
                <w:sz w:val="14"/>
                <w:lang w:eastAsia="cs-CZ"/>
              </w:rPr>
              <w:t>Počet celých odpracovaných týdnů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b/>
                <w:bCs/>
                <w:sz w:val="14"/>
                <w:lang w:eastAsia="cs-CZ"/>
              </w:rPr>
              <w:t>Počet týdnů v roce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b/>
                <w:bCs/>
                <w:sz w:val="14"/>
                <w:lang w:eastAsia="cs-CZ"/>
              </w:rPr>
              <w:t>Výměra dovolené ve firmě (týdny)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b/>
                <w:bCs/>
                <w:sz w:val="14"/>
                <w:lang w:eastAsia="cs-CZ"/>
              </w:rPr>
              <w:t>Týdenní pracovní doba (fiktivní, v hodinách)</w:t>
            </w:r>
          </w:p>
        </w:tc>
      </w:tr>
      <w:tr w:rsidR="002E3844" w:rsidRPr="002E3844" w:rsidTr="002E3844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F9F9F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E3844" w:rsidRPr="002E3844" w:rsidRDefault="002E3844" w:rsidP="002E3844">
            <w:pPr>
              <w:spacing w:after="0" w:line="184" w:lineRule="atLeast"/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</w:pPr>
            <w:r w:rsidRPr="002E3844">
              <w:rPr>
                <w:rFonts w:ascii="Times New Roman" w:eastAsia="Times New Roman" w:hAnsi="Times New Roman" w:cs="Times New Roman"/>
                <w:sz w:val="14"/>
                <w:szCs w:val="14"/>
                <w:lang w:eastAsia="cs-CZ"/>
              </w:rPr>
              <w:t>20</w:t>
            </w:r>
          </w:p>
        </w:tc>
      </w:tr>
    </w:tbl>
    <w:p w:rsidR="002E3844" w:rsidRPr="002E3844" w:rsidRDefault="002E3844" w:rsidP="002E3844">
      <w:pPr>
        <w:shd w:val="clear" w:color="auto" w:fill="201F2A"/>
        <w:spacing w:after="115" w:line="300" w:lineRule="atLeast"/>
        <w:outlineLvl w:val="3"/>
        <w:rPr>
          <w:rFonts w:ascii="Trebuchet MS" w:eastAsia="Times New Roman" w:hAnsi="Trebuchet MS" w:cs="Times New Roman"/>
          <w:b/>
          <w:bCs/>
          <w:color w:val="FFFFFF"/>
          <w:sz w:val="21"/>
          <w:szCs w:val="21"/>
          <w:lang w:eastAsia="cs-CZ"/>
        </w:rPr>
      </w:pPr>
      <w:r w:rsidRPr="002E3844">
        <w:rPr>
          <w:rFonts w:ascii="Trebuchet MS" w:eastAsia="Times New Roman" w:hAnsi="Trebuchet MS" w:cs="Times New Roman"/>
          <w:b/>
          <w:bCs/>
          <w:color w:val="FFFFFF"/>
          <w:sz w:val="21"/>
          <w:szCs w:val="21"/>
          <w:lang w:eastAsia="cs-CZ"/>
        </w:rPr>
        <w:t>Vlastní výpočet délky dovolené</w:t>
      </w:r>
    </w:p>
    <w:p w:rsidR="002E3844" w:rsidRPr="002E3844" w:rsidRDefault="002E3844" w:rsidP="002E3844">
      <w:pPr>
        <w:shd w:val="clear" w:color="auto" w:fill="FFFFFF"/>
        <w:spacing w:after="346" w:line="240" w:lineRule="auto"/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</w:pPr>
      <w:r w:rsidRPr="002E3844">
        <w:rPr>
          <w:rFonts w:ascii="Trebuchet MS" w:eastAsia="Times New Roman" w:hAnsi="Trebuchet MS" w:cs="Times New Roman"/>
          <w:color w:val="484755"/>
          <w:sz w:val="18"/>
          <w:szCs w:val="18"/>
          <w:lang w:eastAsia="cs-CZ"/>
        </w:rPr>
        <w:t>21 : 52 × 4 × 20 = 32,3 hodiny. Zaokrouhluje se vždy na celé hodiny nahoru, tady na 33 hodin.</w:t>
      </w:r>
    </w:p>
    <w:p w:rsidR="00EC2B9C" w:rsidRDefault="00EC2B9C"/>
    <w:sectPr w:rsidR="00EC2B9C" w:rsidSect="00EC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1E91"/>
    <w:multiLevelType w:val="multilevel"/>
    <w:tmpl w:val="D576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31E62"/>
    <w:multiLevelType w:val="multilevel"/>
    <w:tmpl w:val="FA3E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E3844"/>
    <w:rsid w:val="002E3844"/>
    <w:rsid w:val="00347A5F"/>
    <w:rsid w:val="00734E63"/>
    <w:rsid w:val="00EC2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2B9C"/>
  </w:style>
  <w:style w:type="paragraph" w:styleId="Nadpis1">
    <w:name w:val="heading 1"/>
    <w:basedOn w:val="Normln"/>
    <w:link w:val="Nadpis1Char"/>
    <w:uiPriority w:val="9"/>
    <w:qFormat/>
    <w:rsid w:val="002E38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E3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2E38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8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E38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E384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E3844"/>
    <w:rPr>
      <w:color w:val="0000FF"/>
      <w:u w:val="single"/>
    </w:rPr>
  </w:style>
  <w:style w:type="character" w:customStyle="1" w:styleId="icons">
    <w:name w:val="icons"/>
    <w:basedOn w:val="Standardnpsmoodstavce"/>
    <w:rsid w:val="002E3844"/>
  </w:style>
  <w:style w:type="paragraph" w:customStyle="1" w:styleId="article-detailarticleheaderperex">
    <w:name w:val="article-detail__article__header__perex"/>
    <w:basedOn w:val="Normln"/>
    <w:rsid w:val="002E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">
    <w:name w:val="title"/>
    <w:basedOn w:val="Normln"/>
    <w:rsid w:val="002E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2E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E3844"/>
    <w:rPr>
      <w:b/>
      <w:bCs/>
    </w:rPr>
  </w:style>
  <w:style w:type="paragraph" w:customStyle="1" w:styleId="black-title">
    <w:name w:val="black-title"/>
    <w:basedOn w:val="Normln"/>
    <w:rsid w:val="002E3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3724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535">
              <w:marLeft w:val="0"/>
              <w:marRight w:val="0"/>
              <w:marTop w:val="0"/>
              <w:marBottom w:val="2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8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8373">
                      <w:marLeft w:val="0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1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3259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040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4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6311">
                  <w:marLeft w:val="0"/>
                  <w:marRight w:val="0"/>
                  <w:marTop w:val="0"/>
                  <w:marBottom w:val="5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6386">
                          <w:marLeft w:val="-346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66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989179">
                      <w:marLeft w:val="-346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493334">
                          <w:marLeft w:val="0"/>
                          <w:marRight w:val="0"/>
                          <w:marTop w:val="0"/>
                          <w:marBottom w:val="3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1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458064">
                                  <w:marLeft w:val="0"/>
                                  <w:marRight w:val="0"/>
                                  <w:marTop w:val="0"/>
                                  <w:marBottom w:val="3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0379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84456">
                                              <w:marLeft w:val="-230"/>
                                              <w:marRight w:val="-2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27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31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mag.cz/personalistika/459012-dohodari-maji-letos-narok-na-dovolenou-tady-jsou-pravidl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mag.cz/personalistika/459012-dohodari-maji-letos-narok-na-dovolenou-tady-jsou-pravidl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mag.cz/personalistika/459012-dohodari-maji-letos-narok-na-dovolenou-tady-jsou-pravidl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inmag.cz/personalistika/459012-dohodari-maji-letos-narok-na-dovolenou-tady-jsou-pravidla" TargetMode="External"/><Relationship Id="rId10" Type="http://schemas.openxmlformats.org/officeDocument/2006/relationships/hyperlink" Target="https://www.finmag.cz/personalistika/453923-zmeny-v-pracich-na-dohodu-prehled-novinek-ktere-se-vali-na-zamestnavate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mag.cz/personalistika/453923-zmeny-v-pracich-na-dohodu-prehled-novinek-ktere-se-vali-na-zamestnavatel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1034</Words>
  <Characters>6101</Characters>
  <Application>Microsoft Office Word</Application>
  <DocSecurity>0</DocSecurity>
  <Lines>50</Lines>
  <Paragraphs>14</Paragraphs>
  <ScaleCrop>false</ScaleCrop>
  <Company/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2024-07-14T19:31:00Z</dcterms:created>
  <dcterms:modified xsi:type="dcterms:W3CDTF">2024-07-19T19:35:00Z</dcterms:modified>
</cp:coreProperties>
</file>